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483" w:rsidRDefault="005D6483" w:rsidP="005D6483">
      <w:pPr>
        <w:autoSpaceDE w:val="0"/>
        <w:autoSpaceDN w:val="0"/>
        <w:adjustRightInd w:val="0"/>
        <w:ind w:left="5672"/>
        <w:rPr>
          <w:rFonts w:cs="Tahoma"/>
          <w:color w:val="000000"/>
          <w:sz w:val="24"/>
          <w:szCs w:val="24"/>
        </w:rPr>
      </w:pPr>
    </w:p>
    <w:p w:rsidR="00CC683A" w:rsidRPr="00364670" w:rsidRDefault="00CC683A" w:rsidP="00CC683A">
      <w:pPr>
        <w:widowControl w:val="0"/>
        <w:autoSpaceDE w:val="0"/>
        <w:autoSpaceDN w:val="0"/>
        <w:spacing w:before="240" w:after="240"/>
        <w:ind w:left="0"/>
        <w:jc w:val="right"/>
        <w:outlineLvl w:val="1"/>
        <w:rPr>
          <w:rFonts w:ascii="Calibri" w:eastAsia="Calibri" w:hAnsi="Calibri" w:cs="Calibri"/>
          <w:b/>
          <w:bCs/>
          <w:sz w:val="24"/>
          <w:szCs w:val="24"/>
          <w:lang w:eastAsia="it-IT" w:bidi="it-IT"/>
        </w:rPr>
      </w:pPr>
      <w:bookmarkStart w:id="0" w:name="_GoBack"/>
      <w:r>
        <w:rPr>
          <w:rFonts w:ascii="Calibri" w:eastAsia="Calibri" w:hAnsi="Calibri" w:cs="Calibri"/>
          <w:b/>
          <w:bCs/>
          <w:sz w:val="24"/>
          <w:szCs w:val="24"/>
          <w:lang w:eastAsia="it-IT" w:bidi="it-IT"/>
        </w:rPr>
        <w:t>Allegato 5B - S</w:t>
      </w:r>
      <w:r w:rsidRPr="00364670">
        <w:rPr>
          <w:rFonts w:ascii="Calibri" w:eastAsia="Calibri" w:hAnsi="Calibri" w:cs="Calibri"/>
          <w:b/>
          <w:bCs/>
          <w:sz w:val="24"/>
          <w:szCs w:val="24"/>
          <w:lang w:eastAsia="it-IT" w:bidi="it-IT"/>
        </w:rPr>
        <w:t>chema di regolamento</w:t>
      </w:r>
      <w:r w:rsidRPr="00E6611B">
        <w:rPr>
          <w:rFonts w:ascii="Calibri" w:eastAsia="Calibri" w:hAnsi="Calibri" w:cs="Calibri"/>
          <w:b/>
          <w:bCs/>
          <w:sz w:val="24"/>
          <w:szCs w:val="24"/>
          <w:lang w:eastAsia="it-IT" w:bidi="it-IT"/>
        </w:rPr>
        <w:t xml:space="preserve"> interno</w:t>
      </w:r>
    </w:p>
    <w:bookmarkEnd w:id="0"/>
    <w:p w:rsidR="00CC683A" w:rsidRPr="00364670" w:rsidRDefault="00CC683A" w:rsidP="00CC683A">
      <w:pPr>
        <w:autoSpaceDE w:val="0"/>
        <w:autoSpaceDN w:val="0"/>
        <w:adjustRightInd w:val="0"/>
        <w:ind w:left="0"/>
        <w:rPr>
          <w:rFonts w:ascii="Times New Roman" w:hAnsi="Times New Roman" w:cs="Times New Roman"/>
          <w:sz w:val="24"/>
          <w:szCs w:val="24"/>
        </w:rPr>
      </w:pPr>
      <w:r w:rsidRPr="00364670">
        <w:rPr>
          <w:rFonts w:ascii="Calibri" w:hAnsi="Calibri" w:cs="Calibri"/>
          <w:b/>
          <w:bCs/>
          <w:color w:val="000000"/>
          <w:sz w:val="24"/>
          <w:szCs w:val="24"/>
        </w:rPr>
        <w:t xml:space="preserve">PREMESSA </w:t>
      </w:r>
    </w:p>
    <w:p w:rsidR="00CC683A" w:rsidRPr="00364670" w:rsidRDefault="00CC683A" w:rsidP="00CC683A">
      <w:pPr>
        <w:autoSpaceDE w:val="0"/>
        <w:autoSpaceDN w:val="0"/>
        <w:adjustRightInd w:val="0"/>
        <w:ind w:left="0"/>
        <w:rPr>
          <w:rFonts w:ascii="Times New Roman" w:hAnsi="Times New Roman" w:cs="Times New Roman"/>
          <w:sz w:val="24"/>
          <w:szCs w:val="24"/>
        </w:rPr>
      </w:pPr>
      <w:r w:rsidRPr="00364670">
        <w:rPr>
          <w:rFonts w:ascii="Calibri" w:hAnsi="Calibri" w:cs="Calibri"/>
          <w:color w:val="000000"/>
        </w:rPr>
        <w:t xml:space="preserve"> </w:t>
      </w:r>
    </w:p>
    <w:p w:rsidR="00CC683A" w:rsidRPr="00364670" w:rsidRDefault="00CC683A" w:rsidP="00CC683A">
      <w:pPr>
        <w:widowControl w:val="0"/>
        <w:autoSpaceDE w:val="0"/>
        <w:autoSpaceDN w:val="0"/>
        <w:spacing w:line="360" w:lineRule="auto"/>
        <w:ind w:left="0"/>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 xml:space="preserve">Il presente regolamento disciplina le procedure interne per la realizzazione del progetto _________ del Gruppo Operativo (di seguito GO) ___________, istituito ai sensi della </w:t>
      </w:r>
      <w:proofErr w:type="spellStart"/>
      <w:r w:rsidRPr="00364670">
        <w:rPr>
          <w:rFonts w:ascii="Calibri" w:hAnsi="Calibri" w:cs="Calibri"/>
          <w:bCs/>
          <w:color w:val="000000"/>
          <w:lang w:bidi="it-IT"/>
        </w:rPr>
        <w:t>SottoMisura</w:t>
      </w:r>
      <w:proofErr w:type="spellEnd"/>
      <w:r w:rsidRPr="00364670">
        <w:rPr>
          <w:rFonts w:ascii="Calibri" w:hAnsi="Calibri" w:cs="Calibri"/>
          <w:bCs/>
          <w:color w:val="000000"/>
          <w:lang w:bidi="it-IT"/>
        </w:rPr>
        <w:t xml:space="preserve"> 16.2 “Sostegno a progetti pilota e allo sviluppo di nuovi prodotti, pratiche, processi e tecnologie” del Programma di Sviluppo Rurale 2014/2020 della Regione Puglia. La materia trattata riguarda le relazioni partenariali, le modalità di interazione ed i processi decisionali del GO, la gestione dei conflitti di interesse (art. 56 del Reg. UE n. 1305/13) e le modalità e i ruoli per la disseminazione dei risultati del progetto del GO. </w:t>
      </w:r>
    </w:p>
    <w:p w:rsidR="00CC683A" w:rsidRPr="00364670" w:rsidRDefault="00CC683A" w:rsidP="00CC683A">
      <w:pPr>
        <w:widowControl w:val="0"/>
        <w:autoSpaceDE w:val="0"/>
        <w:autoSpaceDN w:val="0"/>
        <w:spacing w:before="240" w:after="240"/>
        <w:ind w:left="0"/>
        <w:jc w:val="both"/>
        <w:outlineLvl w:val="1"/>
        <w:rPr>
          <w:rFonts w:ascii="Calibri" w:hAnsi="Calibri" w:cs="Calibri"/>
          <w:bCs/>
          <w:color w:val="000000"/>
          <w:lang w:bidi="it-IT"/>
        </w:rPr>
      </w:pPr>
      <w:r w:rsidRPr="00364670">
        <w:rPr>
          <w:rFonts w:ascii="Calibri" w:hAnsi="Calibri" w:cs="Calibri"/>
          <w:bCs/>
          <w:color w:val="000000"/>
          <w:lang w:bidi="it-IT"/>
        </w:rPr>
        <w:t>Il Regolamento opera nel rispetto:</w:t>
      </w:r>
    </w:p>
    <w:p w:rsidR="00CC683A" w:rsidRPr="00364670" w:rsidRDefault="00CC683A" w:rsidP="00CC683A">
      <w:pPr>
        <w:widowControl w:val="0"/>
        <w:numPr>
          <w:ilvl w:val="0"/>
          <w:numId w:val="12"/>
        </w:numPr>
        <w:autoSpaceDE w:val="0"/>
        <w:autoSpaceDN w:val="0"/>
        <w:spacing w:before="240" w:after="240"/>
        <w:ind w:left="714" w:hanging="357"/>
        <w:jc w:val="both"/>
        <w:outlineLvl w:val="1"/>
        <w:rPr>
          <w:rFonts w:ascii="Symbol" w:hAnsi="Symbol" w:cs="Symbol"/>
          <w:bCs/>
          <w:color w:val="000000"/>
          <w:lang w:bidi="it-IT"/>
        </w:rPr>
      </w:pPr>
      <w:r w:rsidRPr="00364670">
        <w:rPr>
          <w:rFonts w:ascii="Calibri" w:hAnsi="Calibri" w:cs="Calibri"/>
          <w:bCs/>
          <w:color w:val="000000"/>
          <w:lang w:bidi="it-IT"/>
        </w:rPr>
        <w:t xml:space="preserve">delle normative comunitarie e  nazionali  che disciplinano l’ambito d’intervento dei GO; </w:t>
      </w:r>
    </w:p>
    <w:p w:rsidR="00CC683A" w:rsidRPr="00364670" w:rsidRDefault="00CC683A" w:rsidP="00CC683A">
      <w:pPr>
        <w:widowControl w:val="0"/>
        <w:numPr>
          <w:ilvl w:val="0"/>
          <w:numId w:val="12"/>
        </w:numPr>
        <w:autoSpaceDE w:val="0"/>
        <w:autoSpaceDN w:val="0"/>
        <w:spacing w:before="240" w:after="240"/>
        <w:ind w:left="714" w:hanging="357"/>
        <w:jc w:val="both"/>
        <w:outlineLvl w:val="1"/>
        <w:rPr>
          <w:rFonts w:ascii="Symbol" w:hAnsi="Symbol" w:cs="Symbol"/>
          <w:bCs/>
          <w:color w:val="000000"/>
          <w:lang w:bidi="it-IT"/>
        </w:rPr>
      </w:pPr>
      <w:r w:rsidRPr="00364670">
        <w:rPr>
          <w:rFonts w:ascii="Calibri" w:hAnsi="Calibri" w:cs="Calibri"/>
          <w:bCs/>
          <w:color w:val="000000"/>
          <w:lang w:bidi="it-IT"/>
        </w:rPr>
        <w:t>degli indirizzi programmatici e gestionali contenuti nel Programma di Sviluppo Rurale 2014/2020 della Regione Puglia, comprese le successive modifiche ed integrazioni;</w:t>
      </w:r>
    </w:p>
    <w:p w:rsidR="00CC683A" w:rsidRPr="00364670" w:rsidRDefault="00CC683A" w:rsidP="00CC683A">
      <w:pPr>
        <w:widowControl w:val="0"/>
        <w:numPr>
          <w:ilvl w:val="0"/>
          <w:numId w:val="12"/>
        </w:numPr>
        <w:autoSpaceDE w:val="0"/>
        <w:autoSpaceDN w:val="0"/>
        <w:spacing w:before="240" w:after="240"/>
        <w:ind w:left="714" w:hanging="357"/>
        <w:jc w:val="both"/>
        <w:outlineLvl w:val="1"/>
        <w:rPr>
          <w:rFonts w:ascii="Calibri" w:eastAsia="Calibri" w:hAnsi="Calibri" w:cs="Calibri"/>
          <w:b/>
          <w:bCs/>
          <w:sz w:val="24"/>
          <w:lang w:eastAsia="it-IT" w:bidi="it-IT"/>
        </w:rPr>
      </w:pPr>
      <w:r w:rsidRPr="00364670">
        <w:rPr>
          <w:rFonts w:ascii="Calibri" w:hAnsi="Calibri" w:cs="Calibri"/>
          <w:bCs/>
          <w:color w:val="000000"/>
          <w:lang w:bidi="it-IT"/>
        </w:rPr>
        <w:t>dell’Accordo di Cooperazione del Gruppo Operativo.</w:t>
      </w:r>
      <w:r w:rsidRPr="00364670">
        <w:rPr>
          <w:rFonts w:ascii="Calibri" w:hAnsi="Calibri" w:cs="Calibri"/>
          <w:b/>
          <w:bCs/>
          <w:color w:val="000000"/>
          <w:lang w:bidi="it-IT"/>
        </w:rPr>
        <w:t xml:space="preserve">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ART. 1 - COMPOSIZIONE DEL PARTENARIATO DEL GO E RUOLI SPECIFICI</w:t>
      </w:r>
    </w:p>
    <w:p w:rsidR="00CC683A" w:rsidRPr="00364670" w:rsidRDefault="00CC683A" w:rsidP="00CC683A">
      <w:pPr>
        <w:widowControl w:val="0"/>
        <w:autoSpaceDE w:val="0"/>
        <w:autoSpaceDN w:val="0"/>
        <w:spacing w:before="240" w:after="240"/>
        <w:ind w:left="40"/>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 xml:space="preserve">Il partenariato del GO  è costituito dai soggetti di seguito indicati: </w:t>
      </w:r>
    </w:p>
    <w:p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________________ (denominazione), con il compito di capofila/capoprogetto,</w:t>
      </w:r>
    </w:p>
    <w:p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________________ (denominazione), con il compito di </w:t>
      </w:r>
      <w:proofErr w:type="spellStart"/>
      <w:r w:rsidRPr="00364670">
        <w:rPr>
          <w:rFonts w:ascii="Calibri" w:hAnsi="Calibri" w:cs="Calibri"/>
          <w:bCs/>
          <w:i/>
          <w:iCs/>
          <w:color w:val="000000"/>
          <w:lang w:bidi="it-IT"/>
        </w:rPr>
        <w:t>innovation</w:t>
      </w:r>
      <w:proofErr w:type="spellEnd"/>
      <w:r w:rsidRPr="00364670">
        <w:rPr>
          <w:rFonts w:ascii="Calibri" w:hAnsi="Calibri" w:cs="Calibri"/>
          <w:bCs/>
          <w:i/>
          <w:iCs/>
          <w:color w:val="000000"/>
          <w:lang w:bidi="it-IT"/>
        </w:rPr>
        <w:t xml:space="preserve"> broker</w:t>
      </w:r>
      <w:r w:rsidRPr="00364670">
        <w:rPr>
          <w:rFonts w:ascii="Calibri" w:hAnsi="Calibri" w:cs="Calibri"/>
          <w:bCs/>
          <w:color w:val="000000"/>
          <w:lang w:bidi="it-IT"/>
        </w:rPr>
        <w:t xml:space="preserve"> (se previsto)</w:t>
      </w:r>
    </w:p>
    <w:p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Arial" w:hAnsi="Arial" w:cs="Arial"/>
          <w:bCs/>
          <w:color w:val="000000"/>
          <w:lang w:bidi="it-IT"/>
        </w:rPr>
        <w:t xml:space="preserve"> </w:t>
      </w:r>
      <w:r w:rsidRPr="00364670">
        <w:rPr>
          <w:rFonts w:ascii="Calibri" w:hAnsi="Calibri" w:cs="Calibri"/>
          <w:bCs/>
          <w:color w:val="000000"/>
          <w:lang w:bidi="it-IT"/>
        </w:rPr>
        <w:t>________________ (denominazione), partner di progetto settore agricolo/forestale/agro-alimentare...)</w:t>
      </w:r>
    </w:p>
    <w:p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________________ (denominazione), partner di progetto con il compito di  consulente/formatore/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ricercatore … </w:t>
      </w:r>
    </w:p>
    <w:p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________________  (denominazione), partner di progetto con il com</w:t>
      </w:r>
      <w:r>
        <w:rPr>
          <w:rFonts w:ascii="Calibri" w:hAnsi="Calibri" w:cs="Calibri"/>
          <w:bCs/>
          <w:color w:val="000000"/>
          <w:lang w:bidi="it-IT"/>
        </w:rPr>
        <w:t>pito di  _________________</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Il rappresentante legale/</w:t>
      </w:r>
      <w:r w:rsidRPr="00364670">
        <w:rPr>
          <w:rFonts w:ascii="Calibri" w:hAnsi="Calibri" w:cs="Calibri"/>
          <w:bCs/>
          <w:i/>
          <w:iCs/>
          <w:color w:val="000000"/>
          <w:lang w:bidi="it-IT"/>
        </w:rPr>
        <w:t xml:space="preserve">Capofila </w:t>
      </w:r>
      <w:r w:rsidRPr="00364670">
        <w:rPr>
          <w:rFonts w:ascii="Calibri" w:hAnsi="Calibri" w:cs="Calibri"/>
          <w:bCs/>
          <w:color w:val="000000"/>
          <w:lang w:bidi="it-IT"/>
        </w:rPr>
        <w:t xml:space="preserve">del GO è il referente del progetto per la Regione, il referente dei partner, componenti il partenariato, per le relazioni con la Regione, il coordinatore delle attività previste dal progetto.  </w:t>
      </w:r>
    </w:p>
    <w:p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Il rappresentante legale/</w:t>
      </w:r>
      <w:r w:rsidRPr="00364670">
        <w:rPr>
          <w:rFonts w:ascii="Calibri" w:hAnsi="Calibri" w:cs="Calibri"/>
          <w:bCs/>
          <w:i/>
          <w:iCs/>
          <w:color w:val="000000"/>
          <w:lang w:bidi="it-IT"/>
        </w:rPr>
        <w:t xml:space="preserve">Capofila </w:t>
      </w:r>
      <w:r w:rsidRPr="00364670">
        <w:rPr>
          <w:rFonts w:ascii="Calibri" w:hAnsi="Calibri" w:cs="Calibri"/>
          <w:bCs/>
          <w:color w:val="000000"/>
          <w:lang w:bidi="it-IT"/>
        </w:rPr>
        <w:t>è supportato da (</w:t>
      </w:r>
      <w:r w:rsidRPr="00364670">
        <w:rPr>
          <w:rFonts w:ascii="Calibri" w:hAnsi="Calibri" w:cs="Calibri"/>
          <w:bCs/>
          <w:i/>
          <w:iCs/>
          <w:color w:val="000000"/>
          <w:lang w:bidi="it-IT"/>
        </w:rPr>
        <w:t>se previsti</w:t>
      </w:r>
      <w:r w:rsidRPr="00364670">
        <w:rPr>
          <w:rFonts w:ascii="Calibri" w:hAnsi="Calibri" w:cs="Calibri"/>
          <w:bCs/>
          <w:color w:val="000000"/>
          <w:lang w:bidi="it-IT"/>
        </w:rPr>
        <w:t>):</w:t>
      </w:r>
    </w:p>
    <w:p w:rsidR="00CC683A" w:rsidRPr="00364670" w:rsidRDefault="00CC683A" w:rsidP="00CC683A">
      <w:pPr>
        <w:widowControl w:val="0"/>
        <w:numPr>
          <w:ilvl w:val="0"/>
          <w:numId w:val="13"/>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lastRenderedPageBreak/>
        <w:t xml:space="preserve">un </w:t>
      </w:r>
      <w:r w:rsidRPr="00364670">
        <w:rPr>
          <w:rFonts w:ascii="Calibri" w:hAnsi="Calibri" w:cs="Calibri"/>
          <w:bCs/>
          <w:i/>
          <w:iCs/>
          <w:color w:val="000000"/>
          <w:lang w:bidi="it-IT"/>
        </w:rPr>
        <w:t>Responsabile tecnico scientifico,</w:t>
      </w:r>
      <w:r w:rsidRPr="00364670">
        <w:rPr>
          <w:rFonts w:ascii="Calibri" w:hAnsi="Calibri" w:cs="Calibri"/>
          <w:bCs/>
          <w:color w:val="000000"/>
          <w:lang w:bidi="it-IT"/>
        </w:rPr>
        <w:t xml:space="preserve"> cui competono le attività di raccordo tecnico-scientifico con i partner e di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monitoraggio e controllo delle attività progettuali;</w:t>
      </w:r>
    </w:p>
    <w:p w:rsidR="00CC683A" w:rsidRPr="00364670" w:rsidRDefault="00CC683A" w:rsidP="00CC683A">
      <w:pPr>
        <w:widowControl w:val="0"/>
        <w:numPr>
          <w:ilvl w:val="0"/>
          <w:numId w:val="13"/>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 xml:space="preserve">una </w:t>
      </w:r>
      <w:r w:rsidRPr="00364670">
        <w:rPr>
          <w:rFonts w:ascii="Calibri" w:hAnsi="Calibri" w:cs="Calibri"/>
          <w:bCs/>
          <w:i/>
          <w:iCs/>
          <w:color w:val="000000"/>
          <w:lang w:bidi="it-IT"/>
        </w:rPr>
        <w:t>segreteria</w:t>
      </w:r>
      <w:r w:rsidRPr="00364670">
        <w:rPr>
          <w:rFonts w:ascii="Calibri" w:hAnsi="Calibri" w:cs="Calibri"/>
          <w:bCs/>
          <w:color w:val="000000"/>
          <w:lang w:bidi="it-IT"/>
        </w:rPr>
        <w:t xml:space="preserve">, con il compito di supporto gestionale e di mantenimento del flusso informativo, di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trasmissione di indicazioni operative, organizzazione del flusso documentale relativo alla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rendicontazione delle spese del progetto;</w:t>
      </w:r>
    </w:p>
    <w:p w:rsidR="00CC683A" w:rsidRPr="00364670" w:rsidRDefault="00CC683A" w:rsidP="00CC683A">
      <w:pPr>
        <w:widowControl w:val="0"/>
        <w:numPr>
          <w:ilvl w:val="0"/>
          <w:numId w:val="13"/>
        </w:numPr>
        <w:autoSpaceDE w:val="0"/>
        <w:autoSpaceDN w:val="0"/>
        <w:spacing w:line="360" w:lineRule="auto"/>
        <w:ind w:hanging="357"/>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 xml:space="preserve">un </w:t>
      </w:r>
      <w:proofErr w:type="spellStart"/>
      <w:r w:rsidRPr="00364670">
        <w:rPr>
          <w:rFonts w:ascii="Calibri" w:hAnsi="Calibri" w:cs="Calibri"/>
          <w:bCs/>
          <w:i/>
          <w:iCs/>
          <w:color w:val="000000"/>
          <w:lang w:bidi="it-IT"/>
        </w:rPr>
        <w:t>Innovation</w:t>
      </w:r>
      <w:proofErr w:type="spellEnd"/>
      <w:r w:rsidRPr="00364670">
        <w:rPr>
          <w:rFonts w:ascii="Calibri" w:hAnsi="Calibri" w:cs="Calibri"/>
          <w:bCs/>
          <w:i/>
          <w:iCs/>
          <w:color w:val="000000"/>
          <w:lang w:bidi="it-IT"/>
        </w:rPr>
        <w:t xml:space="preserve"> broker</w:t>
      </w:r>
      <w:r w:rsidRPr="00364670">
        <w:rPr>
          <w:rFonts w:ascii="Calibri" w:hAnsi="Calibri" w:cs="Calibri"/>
          <w:bCs/>
          <w:color w:val="000000"/>
          <w:lang w:bidi="it-IT"/>
        </w:rPr>
        <w:t xml:space="preserve"> che svolge il ruolo di animatore e gestore delle relazioni all’interno del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partenariato facendo in modo che le scelte, le azioni conseguenti e i risultati siano condivisi fra i partner e sia garantito il </w:t>
      </w:r>
      <w:proofErr w:type="spellStart"/>
      <w:r w:rsidRPr="00364670">
        <w:rPr>
          <w:rFonts w:ascii="Calibri" w:hAnsi="Calibri" w:cs="Calibri"/>
          <w:bCs/>
          <w:i/>
          <w:iCs/>
          <w:color w:val="000000"/>
          <w:lang w:bidi="it-IT"/>
        </w:rPr>
        <w:t>feed</w:t>
      </w:r>
      <w:proofErr w:type="spellEnd"/>
      <w:r w:rsidRPr="00364670">
        <w:rPr>
          <w:rFonts w:ascii="Calibri" w:hAnsi="Calibri" w:cs="Calibri"/>
          <w:bCs/>
          <w:i/>
          <w:iCs/>
          <w:color w:val="000000"/>
          <w:lang w:bidi="it-IT"/>
        </w:rPr>
        <w:t xml:space="preserve"> back</w:t>
      </w:r>
      <w:r w:rsidRPr="00364670">
        <w:rPr>
          <w:rFonts w:ascii="Calibri" w:hAnsi="Calibri" w:cs="Calibri"/>
          <w:bCs/>
          <w:color w:val="000000"/>
          <w:lang w:bidi="it-IT"/>
        </w:rPr>
        <w:t xml:space="preserve"> da parte dei soggetti beneficiari dell’innovazione.;</w:t>
      </w:r>
    </w:p>
    <w:p w:rsidR="00CC683A" w:rsidRPr="00364670" w:rsidRDefault="00CC683A" w:rsidP="00CC683A">
      <w:pPr>
        <w:widowControl w:val="0"/>
        <w:numPr>
          <w:ilvl w:val="0"/>
          <w:numId w:val="13"/>
        </w:numPr>
        <w:autoSpaceDE w:val="0"/>
        <w:autoSpaceDN w:val="0"/>
        <w:spacing w:line="360" w:lineRule="auto"/>
        <w:ind w:hanging="357"/>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il partner ____________ (</w:t>
      </w:r>
      <w:r w:rsidRPr="00364670">
        <w:rPr>
          <w:rFonts w:ascii="Calibri" w:hAnsi="Calibri" w:cs="Calibri"/>
          <w:bCs/>
          <w:i/>
          <w:iCs/>
          <w:color w:val="000000"/>
          <w:lang w:bidi="it-IT"/>
        </w:rPr>
        <w:t>qualora si ritenesse di affidare ad alcuni partner specifici compiti e se ne volesse dettagliare la natura specificare in questa sede</w:t>
      </w:r>
      <w:r w:rsidRPr="00364670">
        <w:rPr>
          <w:rFonts w:ascii="Calibri" w:hAnsi="Calibri" w:cs="Calibri"/>
          <w:bCs/>
          <w:color w:val="000000"/>
          <w:lang w:bidi="it-IT"/>
        </w:rPr>
        <w:t>).</w:t>
      </w:r>
      <w:r w:rsidRPr="00364670">
        <w:rPr>
          <w:rFonts w:ascii="Times New Roman" w:hAnsi="Times New Roman" w:cs="Times New Roman"/>
          <w:bCs/>
          <w:sz w:val="24"/>
          <w:szCs w:val="24"/>
          <w:lang w:bidi="it-IT"/>
        </w:rPr>
        <w:t xml:space="preserve">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ART. 2 - ORGANIZZAZIONE DEL GO</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I componenti del partenariato del GO sono rappresentati nel Comitato di progetto che è lo strumento e il  luogo di confronto nell’ambito del quale vengono effettuate le eventuali scelte tecniche ed organizzative  relative alle attività previste. Per le caratteristiche compositive e gestionali del Comitato si rimanda all’articolo 8 del presente regolamento.</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Il Comitato di progetto del GO si riunisce all’avvio delle attività e quando il rappresentante legale/capofila e/o un gruppo di  partner lo ritiene utile, comunque almeno due volte l’anno. Sono indispensabili riunioni del Comitato quando occorre decidere una variante al progetto e/o promuovere un’attività non prevista. Le riunioni possono essere svolte anche in teleconferenza. Le riunioni e gli incontri possono essere realizzati anche soltanto fra alcuni dei partner del progetto: </w:t>
      </w:r>
    </w:p>
    <w:p w:rsidR="00CC683A" w:rsidRPr="00364670" w:rsidRDefault="00CC683A" w:rsidP="00CC683A">
      <w:pPr>
        <w:widowControl w:val="0"/>
        <w:numPr>
          <w:ilvl w:val="0"/>
          <w:numId w:val="14"/>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quando è necessario verificare i risultati delle prove di collaudo dell’innovazione insieme a consulenti e/o  imprese beneficiarie;</w:t>
      </w:r>
    </w:p>
    <w:p w:rsidR="00CC683A" w:rsidRPr="00364670" w:rsidRDefault="00CC683A" w:rsidP="00CC683A">
      <w:pPr>
        <w:widowControl w:val="0"/>
        <w:numPr>
          <w:ilvl w:val="0"/>
          <w:numId w:val="14"/>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quando si realizzano momenti di informazione e formazione specificamente dedicati;</w:t>
      </w:r>
    </w:p>
    <w:p w:rsidR="00CC683A" w:rsidRPr="00364670" w:rsidRDefault="00CC683A" w:rsidP="00CC683A">
      <w:pPr>
        <w:widowControl w:val="0"/>
        <w:numPr>
          <w:ilvl w:val="0"/>
          <w:numId w:val="14"/>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 xml:space="preserve">quando è utile mettere a punto alcuni processi amministrativo-finanziari.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3 - MODALITÀ INTERATTIVA TRA I PARTNER DEL GO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Ai fini di una utile ed opportuna conoscenza sull’andamento delle attività del GO e per accelerare il processo di trasferimento dell’innovazione, il rappresentante legale/Capofila o l’</w:t>
      </w:r>
      <w:proofErr w:type="spellStart"/>
      <w:r w:rsidRPr="00364670">
        <w:rPr>
          <w:rFonts w:ascii="Calibri" w:hAnsi="Calibri" w:cs="Calibri"/>
          <w:bCs/>
          <w:i/>
          <w:iCs/>
          <w:color w:val="000000"/>
          <w:lang w:bidi="it-IT"/>
        </w:rPr>
        <w:t>innovation</w:t>
      </w:r>
      <w:proofErr w:type="spellEnd"/>
      <w:r w:rsidRPr="00364670">
        <w:rPr>
          <w:rFonts w:ascii="Calibri" w:hAnsi="Calibri" w:cs="Calibri"/>
          <w:bCs/>
          <w:i/>
          <w:iCs/>
          <w:color w:val="000000"/>
          <w:lang w:bidi="it-IT"/>
        </w:rPr>
        <w:t xml:space="preserve"> broker </w:t>
      </w:r>
      <w:r w:rsidRPr="00364670">
        <w:rPr>
          <w:rFonts w:ascii="Calibri" w:hAnsi="Calibri" w:cs="Calibri"/>
          <w:bCs/>
          <w:color w:val="000000"/>
          <w:lang w:bidi="it-IT"/>
        </w:rPr>
        <w:t xml:space="preserve">(se previsto) assicura la circolazione delle informazioni tra i partner del gruppo ed il loro costante coinvolgimento nella produzione di pareri e verifiche dell’attività, nonché la condivisione periodica dello </w:t>
      </w:r>
      <w:r w:rsidRPr="00364670">
        <w:rPr>
          <w:rFonts w:ascii="Calibri" w:hAnsi="Calibri" w:cs="Calibri"/>
          <w:bCs/>
          <w:color w:val="000000"/>
          <w:lang w:bidi="it-IT"/>
        </w:rPr>
        <w:lastRenderedPageBreak/>
        <w:t>stato di avanzamento.</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L’interazione sarà garantita dal confronto sistematico e paritario tra tutti i partner in particolare quando si collaudano e si adottano innovazioni nelle aziende.</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È compito del rappresentante legale/capofila o dell’</w:t>
      </w:r>
      <w:proofErr w:type="spellStart"/>
      <w:r w:rsidRPr="00364670">
        <w:rPr>
          <w:rFonts w:ascii="Calibri" w:hAnsi="Calibri" w:cs="Calibri"/>
          <w:bCs/>
          <w:i/>
          <w:iCs/>
          <w:color w:val="000000"/>
          <w:lang w:bidi="it-IT"/>
        </w:rPr>
        <w:t>innovation</w:t>
      </w:r>
      <w:proofErr w:type="spellEnd"/>
      <w:r w:rsidRPr="00364670">
        <w:rPr>
          <w:rFonts w:ascii="Calibri" w:hAnsi="Calibri" w:cs="Calibri"/>
          <w:bCs/>
          <w:i/>
          <w:iCs/>
          <w:color w:val="000000"/>
          <w:lang w:bidi="it-IT"/>
        </w:rPr>
        <w:t xml:space="preserve"> broker </w:t>
      </w:r>
      <w:r w:rsidRPr="00364670">
        <w:rPr>
          <w:rFonts w:ascii="Calibri" w:hAnsi="Calibri" w:cs="Calibri"/>
          <w:bCs/>
          <w:color w:val="000000"/>
          <w:lang w:bidi="it-IT"/>
        </w:rPr>
        <w:t>verificare periodicamente che tutti i partner condividano le scelte operative tecniche e organizzative adottate e promuovere specifici confronti in caso di non completa condivisione di risultati e processi adottati, mediante tutti gli strumenti multimediali disponibili (mail,  comunicazioni scritte, spazio web riservato, ecc.). Delle criticità e dialettiche che sorgono nello svolgersi del progetto è fondamentale lasciare traccia tangibile.</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Il rappresentante legale/capofila diffonde periodicamente tra i partner - e comunque prima delle due riunioni annuali del Comitato di progetto - </w:t>
      </w:r>
      <w:proofErr w:type="spellStart"/>
      <w:r w:rsidRPr="00364670">
        <w:rPr>
          <w:rFonts w:ascii="Calibri" w:hAnsi="Calibri" w:cs="Calibri"/>
          <w:bCs/>
          <w:i/>
          <w:iCs/>
          <w:color w:val="000000"/>
          <w:lang w:bidi="it-IT"/>
        </w:rPr>
        <w:t>check</w:t>
      </w:r>
      <w:proofErr w:type="spellEnd"/>
      <w:r w:rsidRPr="00364670">
        <w:rPr>
          <w:rFonts w:ascii="Calibri" w:hAnsi="Calibri" w:cs="Calibri"/>
          <w:bCs/>
          <w:i/>
          <w:iCs/>
          <w:color w:val="FF0000"/>
          <w:lang w:bidi="it-IT"/>
        </w:rPr>
        <w:t xml:space="preserve"> </w:t>
      </w:r>
      <w:r w:rsidRPr="00364670">
        <w:rPr>
          <w:rFonts w:ascii="Calibri" w:hAnsi="Calibri" w:cs="Calibri"/>
          <w:bCs/>
          <w:color w:val="000000"/>
          <w:lang w:bidi="it-IT"/>
        </w:rPr>
        <w:t>di progetto</w:t>
      </w:r>
      <w:r w:rsidRPr="00364670">
        <w:rPr>
          <w:rFonts w:ascii="Calibri" w:hAnsi="Calibri" w:cs="Calibri"/>
          <w:bCs/>
          <w:i/>
          <w:iCs/>
          <w:color w:val="000000"/>
          <w:lang w:bidi="it-IT"/>
        </w:rPr>
        <w:t xml:space="preserve"> </w:t>
      </w:r>
      <w:r w:rsidRPr="00364670">
        <w:rPr>
          <w:rFonts w:ascii="Calibri" w:hAnsi="Calibri" w:cs="Calibri"/>
          <w:bCs/>
          <w:color w:val="000000"/>
          <w:lang w:bidi="it-IT"/>
        </w:rPr>
        <w:t>(nel formato di mail, resoconti scritti, sms), parziali e finali, che riportano l’avanzamento fisico ed una sintesi finanziaria.</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L’interazione interna e l’informazione continua dei partner può essere garantita attraverso diverse forme di comunicazione e con l’utilizzo degli strumenti ritenuti più idonei ed appropriati alle esigenze comunicative: riunioni, anche in teleconferenza e </w:t>
      </w:r>
      <w:proofErr w:type="spellStart"/>
      <w:r w:rsidRPr="00364670">
        <w:rPr>
          <w:rFonts w:ascii="Calibri" w:hAnsi="Calibri" w:cs="Calibri"/>
          <w:bCs/>
          <w:color w:val="000000"/>
          <w:lang w:bidi="it-IT"/>
        </w:rPr>
        <w:t>skype</w:t>
      </w:r>
      <w:proofErr w:type="spellEnd"/>
      <w:r w:rsidRPr="00364670">
        <w:rPr>
          <w:rFonts w:ascii="Calibri" w:hAnsi="Calibri" w:cs="Calibri"/>
          <w:bCs/>
          <w:color w:val="000000"/>
          <w:lang w:bidi="it-IT"/>
        </w:rPr>
        <w:t xml:space="preserve">, sito internet dedicato al GO, utilizzo di droni, social network, mail dedicata al GO, documenti informativi interni, </w:t>
      </w:r>
      <w:proofErr w:type="spellStart"/>
      <w:r w:rsidRPr="00364670">
        <w:rPr>
          <w:rFonts w:ascii="Calibri" w:hAnsi="Calibri" w:cs="Calibri"/>
          <w:bCs/>
          <w:i/>
          <w:iCs/>
          <w:color w:val="000000"/>
          <w:lang w:bidi="it-IT"/>
        </w:rPr>
        <w:t>check</w:t>
      </w:r>
      <w:proofErr w:type="spellEnd"/>
      <w:r w:rsidRPr="00364670">
        <w:rPr>
          <w:rFonts w:ascii="Calibri" w:hAnsi="Calibri" w:cs="Calibri"/>
          <w:bCs/>
          <w:i/>
          <w:iCs/>
          <w:color w:val="000000"/>
          <w:lang w:bidi="it-IT"/>
        </w:rPr>
        <w:t xml:space="preserve"> </w:t>
      </w:r>
      <w:r w:rsidRPr="00364670">
        <w:rPr>
          <w:rFonts w:ascii="Calibri" w:hAnsi="Calibri" w:cs="Calibri"/>
          <w:bCs/>
          <w:color w:val="000000"/>
          <w:lang w:bidi="it-IT"/>
        </w:rPr>
        <w:t>di progetto</w:t>
      </w:r>
      <w:r w:rsidRPr="00364670">
        <w:rPr>
          <w:rFonts w:ascii="Calibri" w:hAnsi="Calibri" w:cs="Calibri"/>
          <w:bCs/>
          <w:i/>
          <w:iCs/>
          <w:color w:val="000000"/>
          <w:lang w:bidi="it-IT"/>
        </w:rPr>
        <w:t xml:space="preserve">, </w:t>
      </w:r>
      <w:r w:rsidRPr="00364670">
        <w:rPr>
          <w:rFonts w:ascii="Calibri" w:hAnsi="Calibri" w:cs="Calibri"/>
          <w:bCs/>
          <w:color w:val="000000"/>
          <w:lang w:bidi="it-IT"/>
        </w:rPr>
        <w:t>sms</w:t>
      </w:r>
      <w:r w:rsidRPr="00364670">
        <w:rPr>
          <w:rFonts w:ascii="Calibri" w:hAnsi="Calibri" w:cs="Calibri"/>
          <w:bCs/>
          <w:i/>
          <w:iCs/>
          <w:color w:val="000000"/>
          <w:lang w:bidi="it-IT"/>
        </w:rPr>
        <w:t xml:space="preserve">, </w:t>
      </w:r>
      <w:r w:rsidRPr="00364670">
        <w:rPr>
          <w:rFonts w:ascii="Calibri" w:hAnsi="Calibri" w:cs="Calibri"/>
          <w:bCs/>
          <w:color w:val="000000"/>
          <w:lang w:bidi="it-IT"/>
        </w:rPr>
        <w:t>ecc.., purché si assicuri il raggiungimento e la partecipazione attiva di tutti i partner lungo l’intero percorso di realizzazione del progetto e ne venga lasciata traccia tangibile.</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4 - VERIFICA DEI RISULTATI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Durante lo svolgimento del progetto, man mano che si realizzano e concludono le diverse azioni di cui è composto e a chiusura dello stesso, il rappresentante legale/capofila, con la collaborazione e partecipazione di tutti i partner, organizza verifiche  interne di collaudo delle tecniche, delle macchine, dei modelli organizzativi, dei sistemi produttivi, delle modalità di lavorazione, dei prodotti chimici, ecc.. oggetto del progetto di innovazione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realizzato dal GO.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 prodotti risultanti dalle diverse azioni del progetto sono da considerarsi chiusi se vengono approvati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dall’intero GO.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ART. 5 - STRUMENTI DI COMUNICAZIONE ESTERNA</w:t>
      </w:r>
    </w:p>
    <w:p w:rsidR="00CC683A" w:rsidRPr="00364670" w:rsidRDefault="00CC683A" w:rsidP="00CC683A">
      <w:pPr>
        <w:widowControl w:val="0"/>
        <w:autoSpaceDE w:val="0"/>
        <w:autoSpaceDN w:val="0"/>
        <w:spacing w:line="360" w:lineRule="auto"/>
        <w:ind w:left="40"/>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 xml:space="preserve">Il GO ha l’obbligo della disseminazione all’esterno dei risultati delle attività progettuali realizzate e vi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provvede in base alla regolamentazione comunitaria, nazionale e regionale applicabile. I risultati del GO andranno pubblicizzati man mano che saranno ottenuti. In ogni caso saranno pubblicizzati i lavori del </w:t>
      </w:r>
      <w:r w:rsidRPr="00364670">
        <w:rPr>
          <w:rFonts w:ascii="Calibri" w:hAnsi="Calibri" w:cs="Calibri"/>
          <w:bCs/>
          <w:color w:val="000000"/>
          <w:lang w:bidi="it-IT"/>
        </w:rPr>
        <w:lastRenderedPageBreak/>
        <w:t xml:space="preserve">gruppo, anche in caso di raggiungimento parziale o mancato degli obiettivi.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 partner, in coerenza con le attività previste nel progetto e approvate, realizzano occasioni pubbliche di confronto, momenti di divulgazione delle soluzioni tecnologiche e/o organizzative introdotte, rivolte a tutti gli esterni interessati, promuovendo in tal modo l’adozione delle innovazioni non solo presso le aziende partecipanti al GO ma anche presso le altre comunità di imprenditori sul territorio.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Gli incontri, i workshop, i seminari, le azioni dimostrative, possono essere organizzati, in considerazione dell’innovazione realizzata, in azienda (accompagnate da visite aziendali e/o prove in campo) e/o presso università, istituti di ricerca e sperimentazione, istituti scolastici ad indirizzo agricolo e rurale.</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La disseminazione dei risultati del progetto deve essere effettuata a livello locale, nazionale ed europeo.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Il GO adotta i seguenti strumenti di divulgazione e comunicazione:  </w:t>
      </w:r>
    </w:p>
    <w:p w:rsidR="00CC683A" w:rsidRPr="00364670" w:rsidRDefault="00CC683A" w:rsidP="00CC683A">
      <w:pPr>
        <w:widowControl w:val="0"/>
        <w:autoSpaceDE w:val="0"/>
        <w:autoSpaceDN w:val="0"/>
        <w:ind w:left="40"/>
        <w:jc w:val="both"/>
        <w:outlineLvl w:val="1"/>
        <w:rPr>
          <w:rFonts w:ascii="Calibri" w:hAnsi="Calibri" w:cs="Calibri"/>
          <w:bCs/>
          <w:color w:val="000000"/>
          <w:lang w:bidi="it-IT"/>
        </w:rPr>
      </w:pPr>
      <w:r w:rsidRPr="00364670">
        <w:rPr>
          <w:rFonts w:ascii="Calibri" w:hAnsi="Calibri" w:cs="Calibri"/>
          <w:bCs/>
          <w:i/>
          <w:iCs/>
          <w:color w:val="000000"/>
          <w:lang w:bidi="it-IT"/>
        </w:rPr>
        <w:t>(si ritengono necessari</w:t>
      </w:r>
      <w:r w:rsidRPr="00364670">
        <w:rPr>
          <w:rFonts w:ascii="Calibri" w:hAnsi="Calibri" w:cs="Calibri"/>
          <w:bCs/>
          <w:color w:val="000000"/>
          <w:lang w:bidi="it-IT"/>
        </w:rPr>
        <w:t xml:space="preserve"> )</w:t>
      </w:r>
    </w:p>
    <w:p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sito/pagina web del GO con spazi pubblici per la disseminazione delle attività e dei risultati, ma anche per i contatti con gli utenti della rete web interessati al progetto. Il sito deve rendere disponibili almeno le seguenti informazioni: composizione del GO, obiettivi del progetto, accordo di cooperazione,  regolamento interno, avanzamento delle fasi progettuali, innovazione individuata e trasferibile in azienda, strumenti di divulgazione attivati, contatti dei referenti del GO;</w:t>
      </w:r>
    </w:p>
    <w:p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portali della Rete Rurale Nazionale e della Rete europea del PEI;</w:t>
      </w:r>
    </w:p>
    <w:p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evento finale, workshop, teleconferenza, altro;</w:t>
      </w:r>
    </w:p>
    <w:p w:rsidR="00CC683A" w:rsidRPr="00364670" w:rsidRDefault="00CC683A" w:rsidP="00CC683A">
      <w:pPr>
        <w:widowControl w:val="0"/>
        <w:autoSpaceDE w:val="0"/>
        <w:autoSpaceDN w:val="0"/>
        <w:spacing w:line="360" w:lineRule="auto"/>
        <w:ind w:left="760" w:hanging="760"/>
        <w:jc w:val="both"/>
        <w:outlineLvl w:val="1"/>
        <w:rPr>
          <w:rFonts w:ascii="Calibri" w:hAnsi="Calibri" w:cs="Calibri"/>
          <w:bCs/>
          <w:color w:val="000000"/>
          <w:lang w:bidi="it-IT"/>
        </w:rPr>
      </w:pPr>
      <w:r w:rsidRPr="00364670">
        <w:rPr>
          <w:rFonts w:ascii="Calibri" w:hAnsi="Calibri" w:cs="Calibri"/>
          <w:bCs/>
          <w:color w:val="000000"/>
          <w:lang w:bidi="it-IT"/>
        </w:rPr>
        <w:t xml:space="preserve"> </w:t>
      </w:r>
      <w:r w:rsidRPr="00364670">
        <w:rPr>
          <w:rFonts w:ascii="Times New Roman" w:hAnsi="Times New Roman" w:cs="Times New Roman"/>
          <w:bCs/>
          <w:sz w:val="24"/>
          <w:szCs w:val="24"/>
          <w:lang w:bidi="it-IT"/>
        </w:rPr>
        <w:t xml:space="preserve"> </w:t>
      </w:r>
      <w:r w:rsidRPr="00364670">
        <w:rPr>
          <w:rFonts w:ascii="Calibri" w:hAnsi="Calibri" w:cs="Calibri"/>
          <w:bCs/>
          <w:i/>
          <w:iCs/>
          <w:color w:val="000000"/>
          <w:lang w:bidi="it-IT"/>
        </w:rPr>
        <w:t>(in aggiunta si possono adottare)</w:t>
      </w:r>
    </w:p>
    <w:p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 xml:space="preserve">brochure informative, pubblicazioni, opuscoli dimostrativi, partecipazione a riviste tematiche e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specializzate;</w:t>
      </w:r>
    </w:p>
    <w:p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social su cui promuovere i risultati dell’innovazione realizzata dal GO;</w:t>
      </w:r>
    </w:p>
    <w:p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programmi televisivi, speciali, spot, sponsor;</w:t>
      </w:r>
    </w:p>
    <w:p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visite aziendali, prove in campo, azioni dimostrative.</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Il rappresentante legale/Capofila e/o i Partner partecipano alle attività della Rete Rurale Nazionale e della Rete europea del PEI, attraverso la messa a disposizione di tutte le informazioni sul progetto in corso e sui risultati conseguiti, la partecipazione e collaborazione alle attività organizzate dalla Rete, lo scambio di esperienza e buone prassi con gli altri GO.</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6 - CONFLITTI DI INTERESSE </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lastRenderedPageBreak/>
        <w:t xml:space="preserve">All’interno del GO il rappresentante legale /Capofila prende i provvedimenti necessari per evitare potenziali conflitti di interesse di </w:t>
      </w:r>
      <w:r w:rsidRPr="00364670">
        <w:rPr>
          <w:rFonts w:ascii="Times New Roman" w:hAnsi="Times New Roman" w:cs="Times New Roman"/>
          <w:sz w:val="24"/>
          <w:szCs w:val="24"/>
        </w:rPr>
        <w:t xml:space="preserve"> </w:t>
      </w:r>
      <w:r w:rsidRPr="00364670">
        <w:rPr>
          <w:rFonts w:ascii="Calibri" w:hAnsi="Calibri" w:cs="Calibri"/>
          <w:color w:val="000000"/>
        </w:rPr>
        <w:t xml:space="preserve">carattere patrimoniale, giuridico o altro tra i partner del GO e tra i soggetti esterni con cui si instaurano </w:t>
      </w:r>
      <w:r w:rsidRPr="00364670">
        <w:rPr>
          <w:rFonts w:ascii="Times New Roman" w:hAnsi="Times New Roman" w:cs="Times New Roman"/>
          <w:sz w:val="24"/>
          <w:szCs w:val="24"/>
        </w:rPr>
        <w:t xml:space="preserve"> </w:t>
      </w:r>
      <w:r w:rsidRPr="00364670">
        <w:rPr>
          <w:rFonts w:ascii="Calibri" w:hAnsi="Calibri" w:cs="Calibri"/>
          <w:color w:val="000000"/>
        </w:rPr>
        <w:t xml:space="preserve">rapporti per lo svolgimento delle attività, attraverso la sottoscrizione da parte di tutti i componenti di una </w:t>
      </w:r>
      <w:r w:rsidRPr="00364670">
        <w:rPr>
          <w:rFonts w:ascii="Times New Roman" w:hAnsi="Times New Roman" w:cs="Times New Roman"/>
          <w:sz w:val="24"/>
          <w:szCs w:val="24"/>
        </w:rPr>
        <w:t xml:space="preserve"> </w:t>
      </w:r>
      <w:r w:rsidRPr="00364670">
        <w:rPr>
          <w:rFonts w:ascii="Calibri" w:hAnsi="Calibri" w:cs="Calibri"/>
          <w:color w:val="000000"/>
        </w:rPr>
        <w:t>lettera liberatoria valida per tutta la durata del Progetto.</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 xml:space="preserve">In caso di sopraggiunta conflittualità, è impegno del Partner portarla a conoscenza del GO ed è compito del rappresentante legale/Capofila prendere provvedimenti necessari. Il conflitto di interesse deve essere evitato anche in caso di adesioni di nuovi Partner.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7  - GESTIONE DEI DIRITTI DI PROPRIETÀ INTELLETTUALE </w:t>
      </w:r>
    </w:p>
    <w:p w:rsidR="00CC683A" w:rsidRPr="00364670" w:rsidRDefault="00CC683A" w:rsidP="00CC683A">
      <w:pPr>
        <w:widowControl w:val="0"/>
        <w:autoSpaceDE w:val="0"/>
        <w:autoSpaceDN w:val="0"/>
        <w:spacing w:before="240" w:after="240"/>
        <w:ind w:left="40"/>
        <w:jc w:val="center"/>
        <w:outlineLvl w:val="1"/>
        <w:rPr>
          <w:rFonts w:ascii="Times New Roman" w:hAnsi="Times New Roman" w:cs="Times New Roman"/>
          <w:bCs/>
          <w:i/>
          <w:sz w:val="24"/>
          <w:szCs w:val="24"/>
          <w:lang w:bidi="it-IT"/>
        </w:rPr>
      </w:pPr>
      <w:r w:rsidRPr="00364670">
        <w:rPr>
          <w:rFonts w:ascii="Calibri" w:hAnsi="Calibri" w:cs="Calibri"/>
          <w:i/>
          <w:color w:val="000000"/>
          <w:lang w:bidi="it-IT"/>
        </w:rPr>
        <w:t xml:space="preserve">(qualora se ne ravvedesse la necessità) </w:t>
      </w:r>
    </w:p>
    <w:p w:rsidR="00CC683A" w:rsidRPr="00364670" w:rsidRDefault="00CC683A" w:rsidP="00CC683A">
      <w:pPr>
        <w:widowControl w:val="0"/>
        <w:autoSpaceDE w:val="0"/>
        <w:autoSpaceDN w:val="0"/>
        <w:spacing w:line="360" w:lineRule="auto"/>
        <w:ind w:left="40"/>
        <w:jc w:val="both"/>
        <w:outlineLvl w:val="1"/>
        <w:rPr>
          <w:rFonts w:cs="Times New Roman"/>
          <w:bCs/>
          <w:sz w:val="24"/>
          <w:szCs w:val="24"/>
          <w:lang w:bidi="it-IT"/>
        </w:rPr>
      </w:pPr>
      <w:r w:rsidRPr="00364670">
        <w:rPr>
          <w:rFonts w:ascii="Calibri" w:hAnsi="Calibri" w:cs="Calibri"/>
          <w:bCs/>
          <w:color w:val="000009"/>
          <w:lang w:bidi="it-IT"/>
        </w:rPr>
        <w:t xml:space="preserve">Per la gestione dei diritti di proprietà intellettuale </w:t>
      </w:r>
      <w:r w:rsidRPr="00364670">
        <w:rPr>
          <w:rFonts w:cs="Calibri"/>
          <w:bCs/>
          <w:color w:val="000009"/>
          <w:lang w:bidi="it-IT"/>
        </w:rPr>
        <w:t>il GO e/o i partner concedono all'Autorità di Gestione del PSR il diritto di utilizzare liberamente e come essa ritiene opportuno, i risultati del Progetto, rinunciando ad ogni diritto di proprietà che ne derivi.</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9"/>
          <w:lang w:bidi="it-IT"/>
        </w:rPr>
      </w:pPr>
      <w:r w:rsidRPr="00364670">
        <w:rPr>
          <w:rFonts w:ascii="Calibri" w:hAnsi="Calibri" w:cs="Calibri"/>
          <w:bCs/>
          <w:color w:val="000009"/>
          <w:lang w:bidi="it-IT"/>
        </w:rPr>
        <w:t>Nel caso di risultati congiunti del GO</w:t>
      </w:r>
      <w:r w:rsidRPr="00364670">
        <w:rPr>
          <w:rFonts w:ascii="Calibri" w:hAnsi="Calibri" w:cs="Calibri"/>
          <w:bCs/>
          <w:i/>
          <w:iCs/>
          <w:color w:val="000009"/>
          <w:lang w:bidi="it-IT"/>
        </w:rPr>
        <w:t>,</w:t>
      </w:r>
      <w:r w:rsidRPr="00364670">
        <w:rPr>
          <w:rFonts w:ascii="Calibri" w:hAnsi="Calibri" w:cs="Calibri"/>
          <w:bCs/>
          <w:color w:val="000009"/>
          <w:lang w:bidi="it-IT"/>
        </w:rPr>
        <w:t xml:space="preserve"> eventuali diritti di proprietà industriale e intellettuale dei risultati, dei report e altri documenti ad essi relativi, sono esercitati dal capofila e dai partner. A tal fine, alla conclusione del progetto, il capofila provvederà tempestivamente a registrare marchi o brevetti, affidare in licenza, concessione d’uso o altra forma commercialmente ammissibile tali risultati e prodotti, al fine di garantire un fruttifero mantenimento in attività di beni e realizzazioni. </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9"/>
          <w:lang w:bidi="it-IT"/>
        </w:rPr>
      </w:pPr>
      <w:r w:rsidRPr="00364670">
        <w:rPr>
          <w:rFonts w:ascii="Calibri" w:hAnsi="Calibri" w:cs="Calibri"/>
          <w:bCs/>
          <w:color w:val="000009"/>
          <w:lang w:bidi="it-IT"/>
        </w:rPr>
        <w:t>Le modalità di affidamento verranno definite tramite decisione unanime dei partner, al termine del progetto.</w:t>
      </w:r>
    </w:p>
    <w:p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9"/>
          <w:lang w:bidi="it-IT"/>
        </w:rPr>
      </w:pPr>
      <w:r w:rsidRPr="00364670">
        <w:rPr>
          <w:rFonts w:ascii="Calibri" w:hAnsi="Calibri" w:cs="Calibri"/>
          <w:bCs/>
          <w:color w:val="000009"/>
          <w:lang w:bidi="it-IT"/>
        </w:rPr>
        <w:t xml:space="preserve">Gli utili di attività risultanti da tali affidamenti e le eventuali spese di registrazione, saranno distribuiti tra tutti i partner in quota proporzionale al contributo alla realizzazione degli investimenti realizzati nell’ambito del progetto o, in, alternativa, equamente ripartiti tra tutti partner. Nel primo caso, ai fini del calcolo delle quote, fa fede il prospetto finale delle spese di progetto riconosciute al GO e ai singoli partner. I partner non beneficiari potranno concorrere agli utili e alle spese di registrazione relativi ai diritti di proprietà intellettuale per una quota pari al ___%.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8 -  COMITATO DI PROGETTO </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Come indicato nell’art. 2, il Comitato di progetto</w:t>
      </w:r>
      <w:r w:rsidRPr="00364670">
        <w:rPr>
          <w:rFonts w:ascii="Calibri" w:hAnsi="Calibri" w:cs="Calibri"/>
          <w:i/>
          <w:iCs/>
          <w:color w:val="000000"/>
        </w:rPr>
        <w:t xml:space="preserve"> </w:t>
      </w:r>
      <w:r w:rsidRPr="00364670">
        <w:rPr>
          <w:rFonts w:ascii="Calibri" w:hAnsi="Calibri" w:cs="Calibri"/>
          <w:color w:val="000000"/>
        </w:rPr>
        <w:t>è composto da almeno un rappresentante per ogni Partner del GO.</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lastRenderedPageBreak/>
        <w:t>Sulla base dell’ordine del giorno e degli argomenti in discussione i partner possono far intervenire alle riunioni del Comitato un maggior numero di rappresentanti.</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Si riunisce su iniziativa del rappresentante legale/capofila o dei suoi membri ogni volta che si rende necessario, anche in teleconferenza o videoconferenza, ogni volta lo richiedano almeno tre partner con comunicazione scritta inviata al capofila e comunque con cadenza almeno semestrale. La convocazione per la riunione, completa di ordine del giorno e orario, è inviata almeno sette giorni prima del giorno previsto per la riunione.</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È ammessa la presenza a mezzo di delega a favore di altro Partner purché si tratti di delega scritta, firmata e consegnata al rappresentante legale/Capofila nella riunione per la quale è rilasciata. Ogni Partner può rappresentare al massimo un altro partner. È comunque necessario che tutti i partner partecipino alle riunioni del Comitato di progetto almeno una volta l’anno.</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Le deliberazioni sono valide se assunte con i seguenti quorum costitutivi e deliberativi:</w:t>
      </w:r>
    </w:p>
    <w:p w:rsidR="00CC683A" w:rsidRPr="00364670" w:rsidRDefault="00CC683A" w:rsidP="00CC683A">
      <w:pPr>
        <w:widowControl w:val="0"/>
        <w:numPr>
          <w:ilvl w:val="0"/>
          <w:numId w:val="16"/>
        </w:numPr>
        <w:autoSpaceDE w:val="0"/>
        <w:autoSpaceDN w:val="0"/>
        <w:spacing w:line="360" w:lineRule="auto"/>
        <w:jc w:val="both"/>
        <w:outlineLvl w:val="1"/>
        <w:rPr>
          <w:rFonts w:cs="Calibri"/>
          <w:bCs/>
          <w:color w:val="000009"/>
          <w:lang w:bidi="it-IT"/>
        </w:rPr>
      </w:pPr>
      <w:r w:rsidRPr="00364670">
        <w:rPr>
          <w:rFonts w:cs="Calibri"/>
          <w:bCs/>
          <w:color w:val="000009"/>
          <w:lang w:bidi="it-IT"/>
        </w:rPr>
        <w:t xml:space="preserve">per le deliberazioni relative alle modifiche al presente Regolamento, all’accordo di cooperazione  del GO, all’uscita e conseguente ammissione di nuovi partner, alla revoca del mandato al capofila e azione giudiziaria o arbitrale da intraprendere contro uno o più partner: (i) è richiesta la presenza di 2/3 dei partner per la validità della riunione; (ii) è richiesto il voto di 2/3 dei presenti per l’approvazione della deliberazione. </w:t>
      </w:r>
    </w:p>
    <w:p w:rsidR="00CC683A" w:rsidRPr="00364670" w:rsidRDefault="00CC683A" w:rsidP="00CC683A">
      <w:pPr>
        <w:widowControl w:val="0"/>
        <w:numPr>
          <w:ilvl w:val="0"/>
          <w:numId w:val="16"/>
        </w:numPr>
        <w:autoSpaceDE w:val="0"/>
        <w:autoSpaceDN w:val="0"/>
        <w:spacing w:line="360" w:lineRule="auto"/>
        <w:jc w:val="both"/>
        <w:outlineLvl w:val="1"/>
        <w:rPr>
          <w:rFonts w:cs="Calibri"/>
          <w:bCs/>
          <w:color w:val="000009"/>
          <w:lang w:bidi="it-IT"/>
        </w:rPr>
      </w:pPr>
      <w:r w:rsidRPr="00364670">
        <w:rPr>
          <w:rFonts w:cs="Calibri"/>
          <w:bCs/>
          <w:color w:val="000009"/>
          <w:lang w:bidi="it-IT"/>
        </w:rPr>
        <w:t>per le deliberazioni relative a varianti di azioni/</w:t>
      </w:r>
      <w:proofErr w:type="spellStart"/>
      <w:r w:rsidRPr="00364670">
        <w:rPr>
          <w:rFonts w:cs="Calibri"/>
          <w:bCs/>
          <w:color w:val="000009"/>
          <w:lang w:bidi="it-IT"/>
        </w:rPr>
        <w:t>sottofasi</w:t>
      </w:r>
      <w:proofErr w:type="spellEnd"/>
      <w:r w:rsidRPr="00364670">
        <w:rPr>
          <w:rFonts w:cs="Calibri"/>
          <w:bCs/>
          <w:color w:val="000009"/>
          <w:lang w:bidi="it-IT"/>
        </w:rPr>
        <w:t xml:space="preserve"> di progetto, relative spese e piano finanziario: (i) è richiesta la presenza del 50% più uno dei partner per la validità della riunione; (ii) è richiesto il voto del 50% più uno dei presenti per l’approvazione della deliberazione.</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 xml:space="preserve">Delle riunioni il rappresentante legale/capofila redigerà verbale da distribuire e approvare a fine riunione o al massimo entro cinque giorni. </w:t>
      </w:r>
      <w:r w:rsidRPr="00364670">
        <w:rPr>
          <w:rFonts w:ascii="Times New Roman" w:hAnsi="Times New Roman" w:cs="Times New Roman"/>
          <w:sz w:val="24"/>
          <w:szCs w:val="24"/>
        </w:rPr>
        <w:t xml:space="preserve"> </w:t>
      </w:r>
    </w:p>
    <w:p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ART. 9 -  NORMA DI ATTUAZIONE</w:t>
      </w:r>
    </w:p>
    <w:p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 xml:space="preserve">Il presente regolamento entra in vigore a far data dalla formalizzazione del GO, con la stipula dell’accordo di cooperazione del GO. Il regolamento potrà subire modifiche e/o integrazioni condivise, a seguito della sua applicazione, da parte del capofila e/o su richiesta condivisa dei partner e ne sarà data formale comunicazione e diffusione agli interessati. </w:t>
      </w:r>
      <w:r w:rsidRPr="00364670">
        <w:rPr>
          <w:rFonts w:ascii="Times New Roman" w:hAnsi="Times New Roman" w:cs="Times New Roman"/>
          <w:sz w:val="24"/>
          <w:szCs w:val="24"/>
        </w:rPr>
        <w:t xml:space="preserve"> </w:t>
      </w:r>
    </w:p>
    <w:p w:rsidR="00CC683A" w:rsidRPr="00364670" w:rsidRDefault="00CC683A" w:rsidP="00CC683A">
      <w:pPr>
        <w:autoSpaceDE w:val="0"/>
        <w:autoSpaceDN w:val="0"/>
        <w:adjustRightInd w:val="0"/>
        <w:ind w:left="5672"/>
        <w:rPr>
          <w:rFonts w:cs="Tahoma"/>
          <w:color w:val="000000"/>
          <w:sz w:val="20"/>
          <w:szCs w:val="20"/>
        </w:rPr>
      </w:pPr>
    </w:p>
    <w:p w:rsidR="00CC683A" w:rsidRPr="00364670" w:rsidRDefault="00CC683A" w:rsidP="00CC683A">
      <w:pPr>
        <w:autoSpaceDE w:val="0"/>
        <w:autoSpaceDN w:val="0"/>
        <w:adjustRightInd w:val="0"/>
        <w:ind w:left="5672"/>
        <w:rPr>
          <w:rFonts w:cs="Tahoma"/>
          <w:color w:val="000000"/>
          <w:sz w:val="20"/>
          <w:szCs w:val="20"/>
        </w:rPr>
      </w:pPr>
    </w:p>
    <w:p w:rsidR="00CC683A" w:rsidRPr="00364670" w:rsidRDefault="00CC683A" w:rsidP="00CC683A">
      <w:pPr>
        <w:autoSpaceDE w:val="0"/>
        <w:autoSpaceDN w:val="0"/>
        <w:adjustRightInd w:val="0"/>
        <w:ind w:left="5672"/>
        <w:rPr>
          <w:rFonts w:cs="Tahoma"/>
          <w:color w:val="000000"/>
          <w:sz w:val="20"/>
          <w:szCs w:val="20"/>
        </w:rPr>
      </w:pPr>
    </w:p>
    <w:p w:rsidR="00CC683A" w:rsidRPr="00364670" w:rsidRDefault="00CC683A" w:rsidP="00CC683A">
      <w:pPr>
        <w:autoSpaceDE w:val="0"/>
        <w:autoSpaceDN w:val="0"/>
        <w:adjustRightInd w:val="0"/>
        <w:ind w:left="5672"/>
        <w:rPr>
          <w:rFonts w:cs="Tahoma"/>
          <w:color w:val="000000"/>
          <w:sz w:val="20"/>
          <w:szCs w:val="20"/>
        </w:rPr>
      </w:pPr>
    </w:p>
    <w:p w:rsidR="00CC683A" w:rsidRPr="00364670"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CC683A" w:rsidRDefault="00CC683A" w:rsidP="00CC683A">
      <w:pPr>
        <w:autoSpaceDE w:val="0"/>
        <w:autoSpaceDN w:val="0"/>
        <w:adjustRightInd w:val="0"/>
        <w:ind w:left="5672"/>
        <w:rPr>
          <w:rFonts w:cs="Tahoma"/>
          <w:color w:val="000000"/>
          <w:sz w:val="20"/>
          <w:szCs w:val="20"/>
        </w:rPr>
      </w:pPr>
    </w:p>
    <w:p w:rsidR="005D6483" w:rsidRPr="00B97D43" w:rsidRDefault="005D6483" w:rsidP="002B2D9D">
      <w:pPr>
        <w:spacing w:after="200" w:line="276" w:lineRule="auto"/>
        <w:ind w:left="0"/>
        <w:jc w:val="right"/>
        <w:rPr>
          <w:rFonts w:ascii="Times New Roman" w:eastAsia="Times New Roman" w:hAnsi="Times New Roman" w:cs="Arial"/>
          <w:bCs/>
          <w:iCs/>
          <w:sz w:val="18"/>
          <w:szCs w:val="18"/>
          <w:lang w:eastAsia="it-IT"/>
        </w:rPr>
      </w:pPr>
    </w:p>
    <w:sectPr w:rsidR="005D6483" w:rsidRPr="00B97D43">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0D1" w:rsidRDefault="007D20D1" w:rsidP="00234776">
      <w:r>
        <w:separator/>
      </w:r>
    </w:p>
  </w:endnote>
  <w:endnote w:type="continuationSeparator" w:id="0">
    <w:p w:rsidR="007D20D1" w:rsidRDefault="007D20D1" w:rsidP="0023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5698148"/>
      <w:docPartObj>
        <w:docPartGallery w:val="Page Numbers (Bottom of Page)"/>
        <w:docPartUnique/>
      </w:docPartObj>
    </w:sdtPr>
    <w:sdtContent>
      <w:p w:rsidR="00043103" w:rsidRDefault="00043103">
        <w:pPr>
          <w:pStyle w:val="Pidipagina"/>
          <w:jc w:val="right"/>
        </w:pPr>
        <w:r>
          <w:fldChar w:fldCharType="begin"/>
        </w:r>
        <w:r>
          <w:instrText>PAGE   \* MERGEFORMAT</w:instrText>
        </w:r>
        <w:r>
          <w:fldChar w:fldCharType="separate"/>
        </w:r>
        <w:r w:rsidR="00CC683A">
          <w:rPr>
            <w:noProof/>
          </w:rPr>
          <w:t>1</w:t>
        </w:r>
        <w:r>
          <w:fldChar w:fldCharType="end"/>
        </w:r>
      </w:p>
    </w:sdtContent>
  </w:sdt>
  <w:p w:rsidR="00043103" w:rsidRDefault="0004310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0D1" w:rsidRDefault="007D20D1" w:rsidP="00234776">
      <w:r>
        <w:separator/>
      </w:r>
    </w:p>
  </w:footnote>
  <w:footnote w:type="continuationSeparator" w:id="0">
    <w:p w:rsidR="007D20D1" w:rsidRDefault="007D20D1" w:rsidP="00234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776" w:rsidRDefault="00234776">
    <w:pPr>
      <w:pStyle w:val="Intestazione"/>
    </w:pPr>
    <w:r>
      <w:rPr>
        <w:noProof/>
        <w:lang w:eastAsia="it-IT"/>
      </w:rPr>
      <w:drawing>
        <wp:inline distT="0" distB="0" distL="0" distR="0" wp14:anchorId="461BDFAC" wp14:editId="3660947D">
          <wp:extent cx="6202017" cy="1240403"/>
          <wp:effectExtent l="19050" t="19050" r="27940" b="171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277" cy="1239455"/>
                  </a:xfrm>
                  <a:prstGeom prst="rect">
                    <a:avLst/>
                  </a:prstGeom>
                  <a:noFill/>
                  <a:ln w="3175">
                    <a:solidFill>
                      <a:sysClr val="window" lastClr="FFFFFF">
                        <a:lumMod val="85000"/>
                      </a:sysClr>
                    </a:solidFill>
                  </a:ln>
                </pic:spPr>
              </pic:pic>
            </a:graphicData>
          </a:graphic>
        </wp:inline>
      </w:drawing>
    </w:r>
  </w:p>
  <w:p w:rsidR="00234776" w:rsidRDefault="0023477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62B"/>
    <w:multiLevelType w:val="hybridMultilevel"/>
    <w:tmpl w:val="6916127C"/>
    <w:lvl w:ilvl="0" w:tplc="04100001">
      <w:start w:val="1"/>
      <w:numFmt w:val="bullet"/>
      <w:lvlText w:val=""/>
      <w:lvlJc w:val="left"/>
      <w:pPr>
        <w:ind w:left="1432" w:hanging="360"/>
      </w:pPr>
      <w:rPr>
        <w:rFonts w:ascii="Symbol" w:hAnsi="Symbol"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1">
    <w:nsid w:val="0DD01FF6"/>
    <w:multiLevelType w:val="hybridMultilevel"/>
    <w:tmpl w:val="96BE87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FF307E7"/>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2450AF0"/>
    <w:multiLevelType w:val="hybridMultilevel"/>
    <w:tmpl w:val="A942B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C1D7FE9"/>
    <w:multiLevelType w:val="hybridMultilevel"/>
    <w:tmpl w:val="BFB041B4"/>
    <w:lvl w:ilvl="0" w:tplc="0410000F">
      <w:start w:val="1"/>
      <w:numFmt w:val="decimal"/>
      <w:lvlText w:val="%1."/>
      <w:lvlJc w:val="left"/>
      <w:pPr>
        <w:ind w:left="1432" w:hanging="360"/>
      </w:pPr>
      <w:rPr>
        <w:rFonts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5">
    <w:nsid w:val="2FEE045A"/>
    <w:multiLevelType w:val="hybridMultilevel"/>
    <w:tmpl w:val="2A7C4402"/>
    <w:lvl w:ilvl="0" w:tplc="1348260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45D0B36"/>
    <w:multiLevelType w:val="hybridMultilevel"/>
    <w:tmpl w:val="DFAEA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5012326"/>
    <w:multiLevelType w:val="hybridMultilevel"/>
    <w:tmpl w:val="8BB05A7A"/>
    <w:lvl w:ilvl="0" w:tplc="6290B352">
      <w:numFmt w:val="bullet"/>
      <w:lvlText w:val="-"/>
      <w:lvlJc w:val="left"/>
      <w:pPr>
        <w:ind w:left="1004" w:hanging="360"/>
      </w:pPr>
      <w:rPr>
        <w:rFonts w:ascii="Calibri" w:eastAsia="Times New Roman" w:hAnsi="Calibri" w:cs="Calibri" w:hint="default"/>
        <w:color w:val="231F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nsid w:val="49FF7EE2"/>
    <w:multiLevelType w:val="hybridMultilevel"/>
    <w:tmpl w:val="0FC2D6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ABA6BAB"/>
    <w:multiLevelType w:val="hybridMultilevel"/>
    <w:tmpl w:val="7ABE4D6C"/>
    <w:lvl w:ilvl="0" w:tplc="04100017">
      <w:start w:val="1"/>
      <w:numFmt w:val="lowerLetter"/>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0">
    <w:nsid w:val="61507923"/>
    <w:multiLevelType w:val="hybridMultilevel"/>
    <w:tmpl w:val="070E25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F030374"/>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2224B1C"/>
    <w:multiLevelType w:val="hybridMultilevel"/>
    <w:tmpl w:val="610A516A"/>
    <w:lvl w:ilvl="0" w:tplc="0410000F">
      <w:start w:val="1"/>
      <w:numFmt w:val="decimal"/>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3">
    <w:nsid w:val="77D215B3"/>
    <w:multiLevelType w:val="hybridMultilevel"/>
    <w:tmpl w:val="5A2A8C00"/>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4">
    <w:nsid w:val="78010F2C"/>
    <w:multiLevelType w:val="hybridMultilevel"/>
    <w:tmpl w:val="73B2D5D0"/>
    <w:lvl w:ilvl="0" w:tplc="81AC2C6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F471919"/>
    <w:multiLevelType w:val="hybridMultilevel"/>
    <w:tmpl w:val="157A529E"/>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14"/>
  </w:num>
  <w:num w:numId="2">
    <w:abstractNumId w:val="6"/>
  </w:num>
  <w:num w:numId="3">
    <w:abstractNumId w:val="3"/>
  </w:num>
  <w:num w:numId="4">
    <w:abstractNumId w:val="8"/>
  </w:num>
  <w:num w:numId="5">
    <w:abstractNumId w:val="7"/>
  </w:num>
  <w:num w:numId="6">
    <w:abstractNumId w:val="0"/>
  </w:num>
  <w:num w:numId="7">
    <w:abstractNumId w:val="4"/>
  </w:num>
  <w:num w:numId="8">
    <w:abstractNumId w:val="2"/>
  </w:num>
  <w:num w:numId="9">
    <w:abstractNumId w:val="10"/>
  </w:num>
  <w:num w:numId="10">
    <w:abstractNumId w:val="1"/>
  </w:num>
  <w:num w:numId="11">
    <w:abstractNumId w:val="11"/>
  </w:num>
  <w:num w:numId="12">
    <w:abstractNumId w:val="5"/>
  </w:num>
  <w:num w:numId="13">
    <w:abstractNumId w:val="15"/>
  </w:num>
  <w:num w:numId="14">
    <w:abstractNumId w:val="13"/>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76"/>
    <w:rsid w:val="00043103"/>
    <w:rsid w:val="00234776"/>
    <w:rsid w:val="002B2D9D"/>
    <w:rsid w:val="004E41A0"/>
    <w:rsid w:val="005D6483"/>
    <w:rsid w:val="00624FD2"/>
    <w:rsid w:val="007D20D1"/>
    <w:rsid w:val="009A057B"/>
    <w:rsid w:val="00CC683A"/>
    <w:rsid w:val="00EC20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794"/>
    <w:rsid w:val="00224C0C"/>
    <w:rsid w:val="006D07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0331118A2464CFE8EAD8077855B2BE3">
    <w:name w:val="B0331118A2464CFE8EAD8077855B2BE3"/>
    <w:rsid w:val="006D079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0331118A2464CFE8EAD8077855B2BE3">
    <w:name w:val="B0331118A2464CFE8EAD8077855B2BE3"/>
    <w:rsid w:val="006D07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2105</Words>
  <Characters>12002</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D'Alessandro Giovanna</dc:creator>
  <cp:lastModifiedBy>D'Alessandro Giovanna</cp:lastModifiedBy>
  <cp:revision>2</cp:revision>
  <dcterms:created xsi:type="dcterms:W3CDTF">2018-10-08T08:45:00Z</dcterms:created>
  <dcterms:modified xsi:type="dcterms:W3CDTF">2018-10-08T08:45:00Z</dcterms:modified>
</cp:coreProperties>
</file>